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v00g5epk0oxr" w:id="0"/>
      <w:bookmarkEnd w:id="0"/>
      <w:r w:rsidDel="00000000" w:rsidR="00000000" w:rsidRPr="00000000">
        <w:rPr>
          <w:rtl w:val="0"/>
        </w:rPr>
        <w:t xml:space="preserve">Resignation policy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Notice Period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Specify the required notice period (e.g., two weeks, one month) that employees must give when resigning.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Submission of Resignation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Outline how to submit a resignation (e.g., in writing, via email).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who the resignation should be addressed to (e.g., immediate supervisor, HR department).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Resignation Acknowledgment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the process for acknowledging receipt of the resignation.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Indicate who will confirm the resignation (e.g., HR representative).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Final Work Day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Detail what is expected on the employee’s last working day.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the process for handing over work, returning company property, and conducting exit interviews.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Exit Interview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Mention the purpose and importance of the exit interview.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the scheduling process and who will conduct the interview.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Final Pay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Outline how and when the final paycheck will be processed.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information about unpaid leave, expenses, and other compensations.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Benefits and Compensation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the handling of benefits (e.g., health insurance, retirement plans) after resignation.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information on any severance pay, if applicable.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Confidentiality and Non-Compete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Remind employees of any confidentiality or non-compete agreements that remain in effect after resignation.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Clearance Procedures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Describe the clearance process, including returning company property (e.g., ID cards, laptops, keys).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Specify the checklist to be completed before the last day.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References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Explain the company’s policy on providing references for former employees.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Documentation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Highlight the importance of documenting the resignation process for both the employee and the company.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